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70" w:lineRule="atLeast"/>
        <w:jc w:val="center"/>
        <w:rPr>
          <w:rFonts w:ascii="宋体" w:hAnsi="宋体" w:cs="宋体"/>
          <w:b/>
          <w:bCs/>
          <w:color w:val="000000"/>
          <w:kern w:val="0"/>
          <w:sz w:val="44"/>
          <w:szCs w:val="44"/>
        </w:rPr>
      </w:pPr>
    </w:p>
    <w:p>
      <w:pPr>
        <w:pStyle w:val="4"/>
        <w:spacing w:before="0" w:beforeAutospacing="0" w:after="0" w:afterAutospacing="0" w:line="480" w:lineRule="exact"/>
        <w:jc w:val="center"/>
        <w:rPr>
          <w:rStyle w:val="6"/>
          <w:rFonts w:ascii="宋体" w:hAnsi="宋体"/>
          <w:color w:val="auto"/>
          <w:sz w:val="36"/>
          <w:szCs w:val="36"/>
        </w:rPr>
      </w:pPr>
    </w:p>
    <w:p>
      <w:pPr>
        <w:pStyle w:val="4"/>
        <w:spacing w:before="0" w:beforeAutospacing="0" w:after="0" w:afterAutospacing="0" w:line="480" w:lineRule="exact"/>
        <w:jc w:val="center"/>
        <w:rPr>
          <w:rStyle w:val="6"/>
          <w:rFonts w:ascii="宋体" w:hAnsi="宋体"/>
          <w:color w:val="auto"/>
          <w:sz w:val="36"/>
          <w:szCs w:val="36"/>
        </w:rPr>
      </w:pPr>
      <w:r>
        <w:rPr>
          <w:rFonts w:ascii="宋体" w:hAnsi="宋体"/>
          <w:b/>
          <w:bCs/>
          <w:color w:val="auto"/>
          <w:sz w:val="36"/>
          <w:szCs w:val="36"/>
        </w:rPr>
        <w:drawing>
          <wp:anchor distT="0" distB="0" distL="114300" distR="114300" simplePos="0" relativeHeight="251659264" behindDoc="1" locked="0" layoutInCell="1" allowOverlap="1">
            <wp:simplePos x="0" y="0"/>
            <wp:positionH relativeFrom="column">
              <wp:posOffset>-409575</wp:posOffset>
            </wp:positionH>
            <wp:positionV relativeFrom="paragraph">
              <wp:posOffset>280035</wp:posOffset>
            </wp:positionV>
            <wp:extent cx="6170930" cy="2390775"/>
            <wp:effectExtent l="19050" t="0" r="1270" b="0"/>
            <wp:wrapNone/>
            <wp:docPr id="1" name="图片 1" descr="C:\Users\Administrator\Desktop\006_副本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006_副本_副本.png"/>
                    <pic:cNvPicPr>
                      <a:picLocks noChangeAspect="1" noChangeArrowheads="1"/>
                    </pic:cNvPicPr>
                  </pic:nvPicPr>
                  <pic:blipFill>
                    <a:blip r:embed="rId6" cstate="print"/>
                    <a:srcRect/>
                    <a:stretch>
                      <a:fillRect/>
                    </a:stretch>
                  </pic:blipFill>
                  <pic:spPr>
                    <a:xfrm>
                      <a:off x="0" y="0"/>
                      <a:ext cx="6170930" cy="2390775"/>
                    </a:xfrm>
                    <a:prstGeom prst="rect">
                      <a:avLst/>
                    </a:prstGeom>
                    <a:noFill/>
                    <a:ln w="9525">
                      <a:noFill/>
                      <a:miter lim="800000"/>
                      <a:headEnd/>
                      <a:tailEnd/>
                    </a:ln>
                  </pic:spPr>
                </pic:pic>
              </a:graphicData>
            </a:graphic>
          </wp:anchor>
        </w:drawing>
      </w:r>
    </w:p>
    <w:p>
      <w:pPr>
        <w:pStyle w:val="4"/>
        <w:spacing w:before="0" w:beforeAutospacing="0" w:after="0" w:afterAutospacing="0" w:line="480" w:lineRule="exact"/>
        <w:jc w:val="center"/>
        <w:rPr>
          <w:rStyle w:val="6"/>
          <w:rFonts w:ascii="宋体" w:hAnsi="宋体"/>
          <w:color w:val="auto"/>
          <w:sz w:val="36"/>
          <w:szCs w:val="36"/>
        </w:rPr>
      </w:pPr>
    </w:p>
    <w:p>
      <w:pPr>
        <w:ind w:firstLine="420"/>
        <w:jc w:val="center"/>
        <w:rPr>
          <w:rFonts w:ascii="宋体" w:hAnsi="宋体"/>
          <w:sz w:val="30"/>
          <w:szCs w:val="30"/>
        </w:rPr>
      </w:pPr>
    </w:p>
    <w:p>
      <w:pPr>
        <w:ind w:firstLine="420"/>
        <w:jc w:val="center"/>
        <w:rPr>
          <w:rFonts w:ascii="宋体" w:hAnsi="宋体"/>
          <w:sz w:val="30"/>
          <w:szCs w:val="30"/>
        </w:rPr>
      </w:pPr>
    </w:p>
    <w:p>
      <w:pPr>
        <w:jc w:val="center"/>
        <w:rPr>
          <w:rFonts w:ascii="宋体" w:hAnsi="宋体"/>
          <w:sz w:val="30"/>
          <w:szCs w:val="30"/>
        </w:rPr>
      </w:pPr>
    </w:p>
    <w:p>
      <w:pPr>
        <w:ind w:firstLine="150" w:firstLineChars="50"/>
        <w:jc w:val="center"/>
        <w:rPr>
          <w:rFonts w:ascii="仿宋_GB2312" w:hAnsi="宋体" w:eastAsia="仿宋_GB2312"/>
          <w:sz w:val="30"/>
          <w:szCs w:val="30"/>
        </w:rPr>
      </w:pPr>
    </w:p>
    <w:p>
      <w:pPr>
        <w:ind w:firstLine="160" w:firstLineChars="50"/>
        <w:jc w:val="center"/>
        <w:rPr>
          <w:rFonts w:ascii="仿宋_GB2312" w:hAnsi="仿宋" w:eastAsia="仿宋_GB2312"/>
          <w:sz w:val="32"/>
          <w:szCs w:val="32"/>
        </w:rPr>
      </w:pPr>
      <w:r>
        <w:rPr>
          <w:rFonts w:hint="eastAsia" w:ascii="仿宋_GB2312" w:hAnsi="仿宋" w:eastAsia="仿宋_GB2312"/>
          <w:sz w:val="32"/>
          <w:szCs w:val="32"/>
        </w:rPr>
        <w:t xml:space="preserve">          内医附人纪发[201</w:t>
      </w:r>
      <w:r>
        <w:rPr>
          <w:rFonts w:hint="eastAsia" w:ascii="仿宋_GB2312" w:hAnsi="仿宋" w:eastAsia="仿宋_GB2312"/>
          <w:sz w:val="32"/>
          <w:szCs w:val="32"/>
          <w:lang w:val="en-US" w:eastAsia="zh-CN"/>
        </w:rPr>
        <w:t>8</w:t>
      </w:r>
      <w:r>
        <w:rPr>
          <w:rFonts w:hint="eastAsia" w:ascii="仿宋_GB2312" w:hAnsi="仿宋" w:eastAsia="仿宋_GB2312"/>
          <w:sz w:val="32"/>
          <w:szCs w:val="32"/>
        </w:rPr>
        <w:t xml:space="preserve">] </w:t>
      </w:r>
      <w:r>
        <w:rPr>
          <w:rFonts w:hint="eastAsia" w:ascii="仿宋_GB2312" w:hAnsi="仿宋" w:eastAsia="仿宋_GB2312"/>
          <w:sz w:val="32"/>
          <w:szCs w:val="32"/>
          <w:lang w:val="en-US" w:eastAsia="zh-CN"/>
        </w:rPr>
        <w:t>5</w:t>
      </w:r>
      <w:r>
        <w:rPr>
          <w:rFonts w:hint="eastAsia" w:ascii="仿宋_GB2312" w:hAnsi="仿宋" w:eastAsia="仿宋_GB2312"/>
          <w:sz w:val="32"/>
          <w:szCs w:val="32"/>
        </w:rPr>
        <w:t>号   签发人：吴苏林</w:t>
      </w:r>
    </w:p>
    <w:p>
      <w:pPr>
        <w:pStyle w:val="4"/>
        <w:spacing w:before="0" w:beforeAutospacing="0" w:after="0" w:afterAutospacing="0" w:line="480" w:lineRule="auto"/>
        <w:rPr>
          <w:rFonts w:hint="eastAsia" w:ascii="长城小标宋体" w:eastAsia="长城小标宋体" w:cs="Times New Roman"/>
          <w:b/>
          <w:w w:val="95"/>
          <w:kern w:val="2"/>
          <w:sz w:val="44"/>
          <w:szCs w:val="44"/>
        </w:rPr>
      </w:pPr>
    </w:p>
    <w:p>
      <w:pPr>
        <w:widowControl/>
        <w:wordWrap w:val="0"/>
        <w:spacing w:line="270" w:lineRule="atLeast"/>
        <w:jc w:val="left"/>
        <w:rPr>
          <w:rFonts w:ascii="仿宋_GB2312" w:eastAsia="仿宋_GB2312"/>
          <w:sz w:val="32"/>
          <w:szCs w:val="32"/>
        </w:rPr>
      </w:pPr>
      <w:r>
        <w:rPr>
          <w:rFonts w:hint="eastAsia" w:asciiTheme="majorEastAsia" w:hAnsiTheme="majorEastAsia" w:eastAsiaTheme="majorEastAsia"/>
          <w:b/>
          <w:sz w:val="44"/>
          <w:szCs w:val="44"/>
        </w:rPr>
        <w:t>关于中秋、国庆期间加强廉洁自律的通知</w:t>
      </w:r>
    </w:p>
    <w:p>
      <w:pPr>
        <w:jc w:val="center"/>
        <w:rPr>
          <w:rFonts w:asciiTheme="majorEastAsia" w:hAnsiTheme="majorEastAsia" w:eastAsiaTheme="majorEastAsia"/>
          <w:b/>
          <w:sz w:val="44"/>
          <w:szCs w:val="44"/>
        </w:rPr>
      </w:pPr>
    </w:p>
    <w:p>
      <w:pPr>
        <w:jc w:val="left"/>
        <w:rPr>
          <w:rFonts w:ascii="仿宋" w:hAnsi="仿宋" w:eastAsia="仿宋" w:cs="仿宋"/>
          <w:bCs/>
          <w:sz w:val="32"/>
          <w:szCs w:val="32"/>
        </w:rPr>
      </w:pPr>
      <w:r>
        <w:rPr>
          <w:rFonts w:hint="eastAsia" w:ascii="仿宋" w:hAnsi="仿宋" w:eastAsia="仿宋" w:cs="仿宋"/>
          <w:bCs/>
          <w:sz w:val="32"/>
          <w:szCs w:val="32"/>
        </w:rPr>
        <w:t>各党支部、各科（部）室：</w:t>
      </w:r>
    </w:p>
    <w:p>
      <w:pPr>
        <w:ind w:firstLine="640" w:firstLineChars="200"/>
        <w:jc w:val="left"/>
        <w:rPr>
          <w:rFonts w:ascii="仿宋_GB2312" w:hAnsi="仿宋" w:eastAsia="仿宋_GB2312" w:cs="Tahoma"/>
          <w:bCs/>
          <w:color w:val="000000"/>
          <w:sz w:val="32"/>
          <w:szCs w:val="32"/>
        </w:rPr>
      </w:pPr>
      <w:r>
        <w:rPr>
          <w:rFonts w:hint="eastAsia" w:ascii="仿宋" w:hAnsi="仿宋" w:eastAsia="仿宋" w:cs="仿宋"/>
          <w:bCs/>
          <w:sz w:val="32"/>
          <w:szCs w:val="32"/>
        </w:rPr>
        <w:t>中秋、国庆将至，为深入推进落实中央八项规定精神，</w:t>
      </w:r>
      <w:r>
        <w:rPr>
          <w:rFonts w:hint="eastAsia" w:ascii="仿宋_GB2312" w:hAnsi="仿宋" w:eastAsia="仿宋_GB2312"/>
          <w:sz w:val="32"/>
          <w:szCs w:val="32"/>
        </w:rPr>
        <w:t>严肃工作纪律，加强作风建设，弛而不息</w:t>
      </w:r>
      <w:r>
        <w:rPr>
          <w:rFonts w:hint="eastAsia" w:ascii="仿宋_GB2312" w:hAnsi="仿宋" w:eastAsia="仿宋_GB2312" w:cs="Tahoma"/>
          <w:bCs/>
          <w:color w:val="000000"/>
          <w:sz w:val="32"/>
          <w:szCs w:val="32"/>
        </w:rPr>
        <w:t>纠正“四风”，现将有关要求通知如下：</w:t>
      </w:r>
    </w:p>
    <w:p>
      <w:pPr>
        <w:ind w:firstLine="643" w:firstLineChars="200"/>
        <w:jc w:val="left"/>
        <w:rPr>
          <w:rFonts w:asciiTheme="minorEastAsia" w:hAnsiTheme="minorEastAsia" w:cstheme="minorEastAsia"/>
          <w:b/>
          <w:sz w:val="32"/>
          <w:szCs w:val="32"/>
        </w:rPr>
      </w:pPr>
      <w:r>
        <w:rPr>
          <w:rFonts w:hint="eastAsia" w:asciiTheme="minorEastAsia" w:hAnsiTheme="minorEastAsia" w:cstheme="minorEastAsia"/>
          <w:b/>
          <w:sz w:val="32"/>
          <w:szCs w:val="32"/>
        </w:rPr>
        <w:t>一、严明纪律要求，做到令行禁止。</w:t>
      </w:r>
    </w:p>
    <w:p>
      <w:pPr>
        <w:pStyle w:val="4"/>
        <w:shd w:val="clear" w:color="auto" w:fill="FFFFFF"/>
        <w:spacing w:beforeAutospacing="0" w:afterAutospacing="0"/>
        <w:ind w:firstLine="640" w:firstLineChars="200"/>
        <w:rPr>
          <w:rFonts w:ascii="仿宋_GB2312" w:hAnsi="微软雅黑" w:eastAsia="仿宋_GB2312"/>
          <w:color w:val="000000"/>
          <w:sz w:val="32"/>
          <w:szCs w:val="32"/>
        </w:rPr>
      </w:pPr>
      <w:r>
        <w:rPr>
          <w:rFonts w:hint="eastAsia" w:ascii="仿宋_GB2312" w:hAnsi="仿宋" w:eastAsia="仿宋_GB2312" w:cs="Tahoma"/>
          <w:bCs/>
          <w:color w:val="000000"/>
          <w:sz w:val="32"/>
          <w:szCs w:val="32"/>
        </w:rPr>
        <w:t>全院干部职工要认真贯彻落实《准则》《条例》，把握道德高线，严明纪律底线，严格遵守新修订中央八项规定实施细则和廉洁自律各项规定，严格</w:t>
      </w:r>
      <w:r>
        <w:rPr>
          <w:rFonts w:hint="eastAsia" w:ascii="仿宋_GB2312" w:hAnsi="微软雅黑" w:eastAsia="仿宋_GB2312"/>
          <w:color w:val="000000"/>
          <w:sz w:val="32"/>
          <w:szCs w:val="32"/>
        </w:rPr>
        <w:t>落实“九不准”要求</w:t>
      </w:r>
      <w:r>
        <w:rPr>
          <w:rFonts w:hint="eastAsia" w:ascii="仿宋_GB2312" w:hAnsi="仿宋" w:eastAsia="仿宋_GB2312" w:cs="Tahoma"/>
          <w:bCs/>
          <w:color w:val="000000"/>
          <w:sz w:val="32"/>
          <w:szCs w:val="32"/>
        </w:rPr>
        <w:t>，</w:t>
      </w:r>
      <w:r>
        <w:rPr>
          <w:rFonts w:hint="eastAsia" w:ascii="仿宋_GB2312" w:hAnsi="微软雅黑" w:eastAsia="仿宋_GB2312"/>
          <w:color w:val="000000"/>
          <w:sz w:val="32"/>
          <w:szCs w:val="32"/>
        </w:rPr>
        <w:t>党员领导干部要带头转变作风，增强廉洁自律的自觉性，营造崇廉尚俭的节日氛围。</w:t>
      </w:r>
    </w:p>
    <w:p>
      <w:pPr>
        <w:pStyle w:val="4"/>
        <w:shd w:val="clear" w:color="auto" w:fill="FFFFFF"/>
        <w:spacing w:beforeAutospacing="0" w:afterAutospacing="0"/>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1、严禁违规发放津贴、补贴、奖金、实物；严禁用</w:t>
      </w:r>
      <w:r>
        <w:rPr>
          <w:rFonts w:ascii="仿宋_GB2312" w:hAnsi="微软雅黑" w:eastAsia="仿宋_GB2312"/>
          <w:color w:val="000000"/>
          <w:sz w:val="32"/>
          <w:szCs w:val="32"/>
        </w:rPr>
        <w:t>公款购买</w:t>
      </w:r>
      <w:r>
        <w:rPr>
          <w:rFonts w:hint="eastAsia" w:ascii="仿宋_GB2312" w:hAnsi="微软雅黑" w:eastAsia="仿宋_GB2312"/>
          <w:color w:val="000000"/>
          <w:sz w:val="32"/>
          <w:szCs w:val="32"/>
        </w:rPr>
        <w:t>、</w:t>
      </w:r>
      <w:r>
        <w:rPr>
          <w:rFonts w:ascii="仿宋_GB2312" w:hAnsi="微软雅黑" w:eastAsia="仿宋_GB2312"/>
          <w:color w:val="000000"/>
          <w:sz w:val="32"/>
          <w:szCs w:val="32"/>
        </w:rPr>
        <w:t>赠送</w:t>
      </w:r>
      <w:r>
        <w:rPr>
          <w:rFonts w:hint="eastAsia" w:ascii="仿宋_GB2312" w:hAnsi="微软雅黑" w:eastAsia="仿宋_GB2312"/>
          <w:color w:val="000000"/>
          <w:sz w:val="32"/>
          <w:szCs w:val="32"/>
        </w:rPr>
        <w:t>高档</w:t>
      </w:r>
      <w:r>
        <w:rPr>
          <w:rFonts w:ascii="仿宋_GB2312" w:hAnsi="微软雅黑" w:eastAsia="仿宋_GB2312"/>
          <w:color w:val="000000"/>
          <w:sz w:val="32"/>
          <w:szCs w:val="32"/>
        </w:rPr>
        <w:t>烟酒</w:t>
      </w:r>
      <w:r>
        <w:rPr>
          <w:rFonts w:hint="eastAsia" w:ascii="仿宋_GB2312" w:hAnsi="微软雅黑" w:eastAsia="仿宋_GB2312"/>
          <w:color w:val="000000"/>
          <w:sz w:val="32"/>
          <w:szCs w:val="32"/>
        </w:rPr>
        <w:t>茶</w:t>
      </w:r>
      <w:r>
        <w:rPr>
          <w:rFonts w:ascii="仿宋_GB2312" w:hAnsi="微软雅黑" w:eastAsia="仿宋_GB2312"/>
          <w:color w:val="000000"/>
          <w:sz w:val="32"/>
          <w:szCs w:val="32"/>
        </w:rPr>
        <w:t>、</w:t>
      </w:r>
      <w:r>
        <w:rPr>
          <w:rFonts w:hint="eastAsia" w:ascii="仿宋_GB2312" w:hAnsi="微软雅黑" w:eastAsia="仿宋_GB2312"/>
          <w:color w:val="000000"/>
          <w:sz w:val="32"/>
          <w:szCs w:val="32"/>
        </w:rPr>
        <w:t>月饼</w:t>
      </w:r>
      <w:r>
        <w:rPr>
          <w:rFonts w:ascii="仿宋_GB2312" w:hAnsi="微软雅黑" w:eastAsia="仿宋_GB2312"/>
          <w:color w:val="000000"/>
          <w:sz w:val="32"/>
          <w:szCs w:val="32"/>
        </w:rPr>
        <w:t>等节礼</w:t>
      </w:r>
      <w:r>
        <w:rPr>
          <w:rFonts w:hint="eastAsia" w:ascii="仿宋_GB2312" w:hAnsi="微软雅黑" w:eastAsia="仿宋_GB2312"/>
          <w:color w:val="000000"/>
          <w:sz w:val="32"/>
          <w:szCs w:val="32"/>
        </w:rPr>
        <w:t>，严禁违规公款吃喝、公款旅游、公款健身、公车私用</w:t>
      </w:r>
      <w:r>
        <w:rPr>
          <w:rFonts w:ascii="仿宋_GB2312" w:hAnsi="微软雅黑" w:eastAsia="仿宋_GB2312"/>
          <w:color w:val="000000"/>
          <w:sz w:val="32"/>
          <w:szCs w:val="32"/>
        </w:rPr>
        <w:t>和私车公养</w:t>
      </w:r>
      <w:r>
        <w:rPr>
          <w:rFonts w:hint="eastAsia" w:ascii="仿宋_GB2312" w:hAnsi="微软雅黑" w:eastAsia="仿宋_GB2312"/>
          <w:color w:val="000000"/>
          <w:sz w:val="32"/>
          <w:szCs w:val="32"/>
        </w:rPr>
        <w:t>。</w:t>
      </w:r>
    </w:p>
    <w:p>
      <w:pPr>
        <w:pStyle w:val="4"/>
        <w:shd w:val="clear" w:color="auto" w:fill="FFFFFF"/>
        <w:spacing w:beforeAutospacing="0" w:afterAutospacing="0"/>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2、严禁违规组织、参加</w:t>
      </w:r>
      <w:r>
        <w:rPr>
          <w:rFonts w:ascii="仿宋_GB2312" w:hAnsi="微软雅黑" w:eastAsia="仿宋_GB2312"/>
          <w:color w:val="000000"/>
          <w:sz w:val="32"/>
          <w:szCs w:val="32"/>
        </w:rPr>
        <w:t>老乡会、校友会、战友会</w:t>
      </w:r>
      <w:r>
        <w:rPr>
          <w:rFonts w:hint="eastAsia" w:ascii="仿宋_GB2312" w:hAnsi="微软雅黑" w:eastAsia="仿宋_GB2312"/>
          <w:color w:val="000000"/>
          <w:sz w:val="32"/>
          <w:szCs w:val="32"/>
        </w:rPr>
        <w:t>及其他用公款支付的娱乐活动；严禁党员领导干部出入私人会所或参与封建迷信、赌博。</w:t>
      </w:r>
    </w:p>
    <w:p>
      <w:pPr>
        <w:pStyle w:val="4"/>
        <w:shd w:val="clear" w:color="auto" w:fill="FFFFFF"/>
        <w:spacing w:beforeAutospacing="0" w:afterAutospacing="0"/>
        <w:ind w:firstLine="640" w:firstLineChars="200"/>
        <w:rPr>
          <w:rFonts w:hint="eastAsia" w:ascii="仿宋_GB2312" w:hAnsi="微软雅黑" w:eastAsia="仿宋_GB2312"/>
          <w:color w:val="000000"/>
          <w:sz w:val="32"/>
          <w:szCs w:val="32"/>
        </w:rPr>
      </w:pPr>
      <w:r>
        <w:rPr>
          <w:rFonts w:hint="eastAsia" w:ascii="仿宋_GB2312" w:hAnsi="微软雅黑" w:eastAsia="仿宋_GB2312"/>
          <w:color w:val="000000"/>
          <w:sz w:val="32"/>
          <w:szCs w:val="32"/>
        </w:rPr>
        <w:t>3、党员领导干部严格执行婚丧喜庆事宜报备制度，严禁利用节日之机大操大办婚丧喜庆事宜</w:t>
      </w:r>
      <w:r>
        <w:rPr>
          <w:rFonts w:ascii="仿宋_GB2312" w:hAnsi="微软雅黑" w:eastAsia="仿宋_GB2312"/>
          <w:color w:val="000000"/>
          <w:sz w:val="32"/>
          <w:szCs w:val="32"/>
        </w:rPr>
        <w:t>或借机敛财</w:t>
      </w:r>
      <w:r>
        <w:rPr>
          <w:rFonts w:hint="eastAsia" w:ascii="仿宋_GB2312" w:hAnsi="微软雅黑" w:eastAsia="仿宋_GB2312"/>
          <w:color w:val="000000"/>
          <w:sz w:val="32"/>
          <w:szCs w:val="32"/>
        </w:rPr>
        <w:t>。</w:t>
      </w:r>
    </w:p>
    <w:p>
      <w:pPr>
        <w:pStyle w:val="4"/>
        <w:shd w:val="clear" w:color="auto" w:fill="FFFFFF"/>
        <w:spacing w:beforeAutospacing="0" w:afterAutospacing="0"/>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4、严禁违规接受管理和服务对象以及其他与行使职权有关系的单位或个人的礼品、礼金和各种有价证券、支付凭证、商业预付卡、电子红包及其提供的赠品、私人旅游活动及各种赞助或报销应由本人及其配偶、子女支付的费用。</w:t>
      </w:r>
    </w:p>
    <w:p>
      <w:pPr>
        <w:widowControl/>
        <w:wordWrap w:val="0"/>
        <w:spacing w:line="270" w:lineRule="atLeast"/>
        <w:ind w:firstLine="640" w:firstLineChars="200"/>
        <w:jc w:val="left"/>
        <w:rPr>
          <w:rFonts w:ascii="仿宋_GB2312" w:eastAsia="仿宋_GB2312"/>
          <w:sz w:val="32"/>
          <w:szCs w:val="32"/>
        </w:rPr>
      </w:pPr>
      <w:r>
        <w:rPr>
          <w:rFonts w:hint="eastAsia" w:ascii="仿宋_GB2312" w:eastAsia="仿宋_GB2312"/>
          <w:sz w:val="32"/>
          <w:szCs w:val="32"/>
        </w:rPr>
        <w:t>5、全院职工在节日当班工作期间不准利用网络、手机短信、微信散布有悖于组织原则的言论。</w:t>
      </w:r>
    </w:p>
    <w:p>
      <w:pPr>
        <w:widowControl/>
        <w:wordWrap w:val="0"/>
        <w:spacing w:line="270" w:lineRule="atLeast"/>
        <w:ind w:firstLine="640" w:firstLineChars="200"/>
        <w:jc w:val="left"/>
        <w:rPr>
          <w:rFonts w:ascii="仿宋" w:hAnsi="仿宋" w:eastAsia="仿宋" w:cs="仿宋"/>
          <w:sz w:val="32"/>
          <w:szCs w:val="32"/>
        </w:rPr>
      </w:pPr>
      <w:r>
        <w:rPr>
          <w:rFonts w:hint="eastAsia" w:ascii="仿宋_GB2312" w:hAnsi="仿宋" w:eastAsia="仿宋_GB2312"/>
          <w:sz w:val="32"/>
          <w:szCs w:val="32"/>
        </w:rPr>
        <w:t>6、严禁工作日饮酒，严禁上班时间上网</w:t>
      </w:r>
      <w:r>
        <w:rPr>
          <w:rFonts w:hint="eastAsia" w:ascii="仿宋_GB2312" w:hAnsi="仿宋" w:eastAsia="仿宋_GB2312"/>
          <w:sz w:val="32"/>
          <w:szCs w:val="32"/>
          <w:lang w:eastAsia="zh-CN"/>
        </w:rPr>
        <w:t>看影视剧、</w:t>
      </w:r>
      <w:r>
        <w:rPr>
          <w:rFonts w:hint="eastAsia" w:ascii="仿宋_GB2312" w:hAnsi="仿宋" w:eastAsia="仿宋_GB2312"/>
          <w:sz w:val="32"/>
          <w:szCs w:val="32"/>
        </w:rPr>
        <w:t>打游戏、购物、炒股等。</w:t>
      </w:r>
    </w:p>
    <w:p>
      <w:pPr>
        <w:ind w:firstLine="643" w:firstLineChars="200"/>
        <w:jc w:val="left"/>
        <w:rPr>
          <w:rFonts w:asciiTheme="minorEastAsia" w:hAnsiTheme="minorEastAsia" w:cstheme="minorEastAsia"/>
          <w:b/>
          <w:sz w:val="32"/>
          <w:szCs w:val="32"/>
        </w:rPr>
      </w:pPr>
      <w:r>
        <w:rPr>
          <w:rFonts w:hint="eastAsia" w:asciiTheme="minorEastAsia" w:hAnsiTheme="minorEastAsia" w:cstheme="minorEastAsia"/>
          <w:b/>
          <w:sz w:val="32"/>
          <w:szCs w:val="32"/>
        </w:rPr>
        <w:t>二、落实主体责任，加强教育管理。</w:t>
      </w:r>
    </w:p>
    <w:p>
      <w:pPr>
        <w:ind w:firstLine="640" w:firstLineChars="200"/>
        <w:jc w:val="left"/>
        <w:rPr>
          <w:rFonts w:ascii="仿宋_GB2312" w:hAnsi="仿宋" w:eastAsia="仿宋_GB2312" w:cs="Tahoma"/>
          <w:bCs/>
          <w:color w:val="000000"/>
          <w:sz w:val="32"/>
          <w:szCs w:val="32"/>
        </w:rPr>
      </w:pPr>
      <w:r>
        <w:rPr>
          <w:rFonts w:hint="eastAsia" w:ascii="仿宋_GB2312" w:hAnsi="仿宋" w:eastAsia="仿宋_GB2312" w:cs="Tahoma"/>
          <w:bCs/>
          <w:color w:val="000000"/>
          <w:sz w:val="32"/>
          <w:szCs w:val="32"/>
        </w:rPr>
        <w:t>党委要切实担负起全面从严治党的主体责任，锲而不舍落实中央“八项规定”</w:t>
      </w:r>
      <w:r>
        <w:rPr>
          <w:rFonts w:ascii="仿宋_GB2312" w:hAnsi="仿宋" w:eastAsia="仿宋_GB2312" w:cs="Tahoma"/>
          <w:bCs/>
          <w:color w:val="000000"/>
          <w:sz w:val="32"/>
          <w:szCs w:val="32"/>
        </w:rPr>
        <w:t>和</w:t>
      </w:r>
      <w:r>
        <w:rPr>
          <w:rFonts w:hint="eastAsia" w:ascii="仿宋_GB2312" w:hAnsi="仿宋" w:eastAsia="仿宋_GB2312" w:cs="Tahoma"/>
          <w:bCs/>
          <w:color w:val="000000"/>
          <w:sz w:val="32"/>
          <w:szCs w:val="32"/>
        </w:rPr>
        <w:t>我院“八项规定”</w:t>
      </w:r>
      <w:r>
        <w:rPr>
          <w:rFonts w:ascii="仿宋_GB2312" w:hAnsi="仿宋" w:eastAsia="仿宋_GB2312" w:cs="Tahoma"/>
          <w:bCs/>
          <w:color w:val="000000"/>
          <w:sz w:val="32"/>
          <w:szCs w:val="32"/>
        </w:rPr>
        <w:t>实施</w:t>
      </w:r>
      <w:r>
        <w:rPr>
          <w:rFonts w:hint="eastAsia" w:ascii="仿宋_GB2312" w:hAnsi="仿宋" w:eastAsia="仿宋_GB2312" w:cs="Tahoma"/>
          <w:bCs/>
          <w:color w:val="000000"/>
          <w:sz w:val="32"/>
          <w:szCs w:val="32"/>
        </w:rPr>
        <w:t>办法，把弛而不息纠正“四风”作为一项重要的政治任务</w:t>
      </w:r>
      <w:r>
        <w:rPr>
          <w:rFonts w:ascii="仿宋_GB2312" w:hAnsi="仿宋" w:eastAsia="仿宋_GB2312" w:cs="Tahoma"/>
          <w:bCs/>
          <w:color w:val="000000"/>
          <w:sz w:val="32"/>
          <w:szCs w:val="32"/>
        </w:rPr>
        <w:t>常抓不懈</w:t>
      </w:r>
      <w:r>
        <w:rPr>
          <w:rFonts w:hint="eastAsia" w:ascii="仿宋_GB2312" w:hAnsi="仿宋" w:eastAsia="仿宋_GB2312" w:cs="Tahoma"/>
          <w:bCs/>
          <w:color w:val="000000"/>
          <w:sz w:val="32"/>
          <w:szCs w:val="32"/>
        </w:rPr>
        <w:t>。党员</w:t>
      </w:r>
      <w:r>
        <w:rPr>
          <w:rFonts w:ascii="仿宋_GB2312" w:hAnsi="仿宋" w:eastAsia="仿宋_GB2312" w:cs="Tahoma"/>
          <w:bCs/>
          <w:color w:val="000000"/>
          <w:sz w:val="32"/>
          <w:szCs w:val="32"/>
        </w:rPr>
        <w:t>领导干部</w:t>
      </w:r>
      <w:r>
        <w:rPr>
          <w:rFonts w:hint="eastAsia" w:ascii="仿宋" w:hAnsi="仿宋" w:eastAsia="仿宋" w:cs="仿宋"/>
          <w:bCs/>
          <w:sz w:val="32"/>
          <w:szCs w:val="32"/>
        </w:rPr>
        <w:t>要切实提高政治站位，强化责任担当，增强“四个意识”，</w:t>
      </w:r>
      <w:r>
        <w:rPr>
          <w:rFonts w:ascii="仿宋_GB2312" w:hAnsi="仿宋" w:eastAsia="仿宋_GB2312" w:cs="Tahoma"/>
          <w:bCs/>
          <w:color w:val="000000"/>
          <w:sz w:val="32"/>
          <w:szCs w:val="32"/>
        </w:rPr>
        <w:t>带头讲规矩、守纪律，以上率下，自觉抵制不良风气，</w:t>
      </w:r>
      <w:r>
        <w:rPr>
          <w:rFonts w:hint="eastAsia" w:ascii="仿宋" w:hAnsi="仿宋" w:eastAsia="仿宋" w:cs="仿宋"/>
          <w:bCs/>
          <w:sz w:val="32"/>
          <w:szCs w:val="32"/>
        </w:rPr>
        <w:t>自觉接受职工群众监督，</w:t>
      </w:r>
      <w:r>
        <w:rPr>
          <w:rFonts w:ascii="仿宋_GB2312" w:hAnsi="仿宋" w:eastAsia="仿宋_GB2312" w:cs="Tahoma"/>
          <w:bCs/>
          <w:color w:val="000000"/>
          <w:sz w:val="32"/>
          <w:szCs w:val="32"/>
        </w:rPr>
        <w:t>形成“头雁效应”</w:t>
      </w:r>
      <w:r>
        <w:rPr>
          <w:rFonts w:hint="eastAsia" w:ascii="仿宋_GB2312" w:hAnsi="仿宋" w:eastAsia="仿宋_GB2312" w:cs="Tahoma"/>
          <w:bCs/>
          <w:color w:val="000000"/>
          <w:sz w:val="32"/>
          <w:szCs w:val="32"/>
        </w:rPr>
        <w:t>，不断把作风建设向纵深推进。各党支部要加强对党员干部的教育、提醒、监督和管理，严防“四风”问题反弹。</w:t>
      </w:r>
    </w:p>
    <w:p>
      <w:pPr>
        <w:numPr>
          <w:ilvl w:val="0"/>
          <w:numId w:val="1"/>
        </w:numPr>
        <w:ind w:firstLine="643" w:firstLineChars="200"/>
        <w:jc w:val="left"/>
        <w:rPr>
          <w:rFonts w:asciiTheme="minorEastAsia" w:hAnsiTheme="minorEastAsia" w:cstheme="minorEastAsia"/>
          <w:b/>
          <w:sz w:val="32"/>
          <w:szCs w:val="32"/>
        </w:rPr>
      </w:pPr>
      <w:r>
        <w:rPr>
          <w:rFonts w:hint="eastAsia" w:asciiTheme="minorEastAsia" w:hAnsiTheme="minorEastAsia" w:cstheme="minorEastAsia"/>
          <w:b/>
          <w:sz w:val="32"/>
          <w:szCs w:val="32"/>
        </w:rPr>
        <w:t>落实监督责任，聚焦执纪问责。</w:t>
      </w:r>
    </w:p>
    <w:p>
      <w:pPr>
        <w:ind w:firstLine="640" w:firstLineChars="200"/>
        <w:jc w:val="left"/>
        <w:rPr>
          <w:rFonts w:asciiTheme="minorEastAsia" w:hAnsiTheme="minorEastAsia" w:cstheme="minorEastAsia"/>
          <w:b/>
          <w:sz w:val="32"/>
          <w:szCs w:val="32"/>
        </w:rPr>
      </w:pPr>
      <w:r>
        <w:rPr>
          <w:rFonts w:hint="eastAsia" w:ascii="仿宋_GB2312" w:hAnsi="微软雅黑" w:eastAsia="仿宋_GB2312"/>
          <w:color w:val="000000"/>
          <w:kern w:val="0"/>
          <w:sz w:val="32"/>
          <w:szCs w:val="32"/>
        </w:rPr>
        <w:t>纪委要</w:t>
      </w:r>
      <w:r>
        <w:rPr>
          <w:rFonts w:ascii="仿宋_GB2312" w:hAnsi="微软雅黑" w:eastAsia="仿宋_GB2312"/>
          <w:color w:val="000000"/>
          <w:kern w:val="0"/>
          <w:sz w:val="32"/>
          <w:szCs w:val="32"/>
        </w:rPr>
        <w:t>认真</w:t>
      </w:r>
      <w:r>
        <w:rPr>
          <w:rFonts w:hint="eastAsia" w:ascii="仿宋_GB2312" w:hAnsi="微软雅黑" w:eastAsia="仿宋_GB2312"/>
          <w:color w:val="000000"/>
          <w:kern w:val="0"/>
          <w:sz w:val="32"/>
          <w:szCs w:val="32"/>
        </w:rPr>
        <w:t>履行监督、执纪、问责责任，把纪律和规矩挺在前面，聚焦享乐奢靡问题，紧盯隐形变异“四风”，严肃执纪问责。要进一步畅通监督渠道，充分利用院报、网站、微信平台等媒介，广泛宣传纪律要求，公布监督举报方式，充分发挥群众监督和舆论监督作用及时受理群众举报；要通过明察暗访、专项检查、随机抽查等方式，开展监督检查，</w:t>
      </w:r>
      <w:r>
        <w:rPr>
          <w:rFonts w:hint="eastAsia" w:ascii="仿宋_GB2312" w:hAnsi="仿宋" w:eastAsia="仿宋_GB2312" w:cs="Tahoma"/>
          <w:bCs/>
          <w:color w:val="000000"/>
          <w:sz w:val="32"/>
          <w:szCs w:val="32"/>
        </w:rPr>
        <w:t>对苗头性问题要多提示、多叮嘱，</w:t>
      </w:r>
      <w:r>
        <w:rPr>
          <w:rFonts w:hint="eastAsia" w:ascii="仿宋_GB2312" w:hAnsi="微软雅黑" w:eastAsia="仿宋_GB2312"/>
          <w:color w:val="000000"/>
          <w:kern w:val="0"/>
          <w:sz w:val="32"/>
          <w:szCs w:val="32"/>
        </w:rPr>
        <w:t>对不收敛、不知止的顶风违纪行为一经查实从严查处，绝不姑息，坚决做到零容忍、严惩戒。</w:t>
      </w:r>
    </w:p>
    <w:p>
      <w:pPr>
        <w:jc w:val="left"/>
        <w:rPr>
          <w:rFonts w:ascii="仿宋" w:hAnsi="仿宋" w:eastAsia="仿宋" w:cs="仿宋"/>
          <w:bCs/>
          <w:sz w:val="32"/>
          <w:szCs w:val="32"/>
        </w:rPr>
      </w:pPr>
      <w:r>
        <w:rPr>
          <w:rFonts w:hint="eastAsia" w:asciiTheme="minorEastAsia" w:hAnsiTheme="minorEastAsia" w:cstheme="minorEastAsia"/>
          <w:b/>
          <w:sz w:val="32"/>
          <w:szCs w:val="32"/>
        </w:rPr>
        <w:t xml:space="preserve">    </w:t>
      </w:r>
      <w:r>
        <w:rPr>
          <w:rFonts w:hint="eastAsia" w:ascii="仿宋_GB2312" w:hAnsi="微软雅黑" w:eastAsia="仿宋_GB2312"/>
          <w:color w:val="000000"/>
          <w:kern w:val="0"/>
          <w:sz w:val="32"/>
          <w:szCs w:val="32"/>
        </w:rPr>
        <w:t>院领导、各党支部书记、各科室、部门负责人要认真履行党风廉政“一岗双责”责任，带头遵章守纪，加强对干部职工的教育</w:t>
      </w:r>
      <w:r>
        <w:rPr>
          <w:rFonts w:hint="eastAsia" w:ascii="仿宋_GB2312" w:eastAsia="仿宋_GB2312"/>
          <w:sz w:val="32"/>
          <w:szCs w:val="32"/>
        </w:rPr>
        <w:t>管理。</w:t>
      </w:r>
      <w:r>
        <w:rPr>
          <w:rFonts w:hint="eastAsia" w:ascii="仿宋" w:hAnsi="仿宋" w:eastAsia="仿宋" w:cs="仿宋"/>
          <w:bCs/>
          <w:sz w:val="32"/>
          <w:szCs w:val="32"/>
        </w:rPr>
        <w:t>对违反上述规定的典型问题既严肃追究当事人责任，又要倒查追究相关领导责任。</w:t>
      </w:r>
    </w:p>
    <w:p>
      <w:pPr>
        <w:ind w:firstLine="640" w:firstLineChars="200"/>
        <w:jc w:val="left"/>
        <w:rPr>
          <w:rFonts w:ascii="仿宋_GB2312" w:hAnsi="仿宋" w:eastAsia="仿宋_GB2312" w:cs="Tahoma"/>
          <w:bCs/>
          <w:color w:val="000000"/>
          <w:sz w:val="32"/>
          <w:szCs w:val="32"/>
        </w:rPr>
      </w:pPr>
      <w:r>
        <w:rPr>
          <w:rFonts w:hint="eastAsia" w:ascii="仿宋_GB2312" w:hAnsi="仿宋" w:eastAsia="仿宋_GB2312" w:cs="Tahoma"/>
          <w:bCs/>
          <w:color w:val="000000"/>
          <w:sz w:val="32"/>
          <w:szCs w:val="32"/>
        </w:rPr>
        <w:t>监督电话：3280198</w:t>
      </w:r>
    </w:p>
    <w:p>
      <w:pPr>
        <w:pStyle w:val="4"/>
        <w:shd w:val="clear" w:color="auto" w:fill="FFFFFF"/>
        <w:spacing w:beforeAutospacing="0" w:afterAutospacing="0"/>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举报信箱：592289428@qq.com</w:t>
      </w:r>
    </w:p>
    <w:p>
      <w:pPr>
        <w:ind w:firstLine="640" w:firstLineChars="200"/>
        <w:jc w:val="left"/>
        <w:rPr>
          <w:rFonts w:ascii="仿宋_GB2312" w:hAnsi="仿宋" w:eastAsia="仿宋_GB2312" w:cs="Tahoma"/>
          <w:bCs/>
          <w:color w:val="000000"/>
          <w:sz w:val="32"/>
          <w:szCs w:val="32"/>
        </w:rPr>
      </w:pPr>
    </w:p>
    <w:p>
      <w:pPr>
        <w:ind w:firstLine="640" w:firstLineChars="200"/>
        <w:jc w:val="left"/>
        <w:rPr>
          <w:rFonts w:ascii="仿宋_GB2312" w:hAnsi="仿宋" w:eastAsia="仿宋_GB2312" w:cs="Tahoma"/>
          <w:bCs/>
          <w:color w:val="000000"/>
          <w:sz w:val="32"/>
          <w:szCs w:val="32"/>
        </w:rPr>
      </w:pPr>
    </w:p>
    <w:p>
      <w:pPr>
        <w:ind w:firstLine="640" w:firstLineChars="200"/>
        <w:jc w:val="left"/>
        <w:rPr>
          <w:rFonts w:hint="eastAsia" w:ascii="仿宋_GB2312" w:hAnsi="仿宋" w:eastAsia="仿宋_GB2312" w:cs="Tahoma"/>
          <w:bCs/>
          <w:color w:val="000000"/>
          <w:sz w:val="32"/>
          <w:szCs w:val="32"/>
          <w:lang w:eastAsia="zh-CN"/>
        </w:rPr>
      </w:pPr>
      <w:r>
        <w:rPr>
          <w:rFonts w:hint="eastAsia" w:ascii="仿宋_GB2312" w:hAnsi="仿宋" w:eastAsia="仿宋_GB2312" w:cs="Tahoma"/>
          <w:bCs/>
          <w:color w:val="000000"/>
          <w:sz w:val="32"/>
          <w:szCs w:val="32"/>
          <w:lang w:eastAsia="zh-CN"/>
        </w:rPr>
        <w:t>此页无正文</w:t>
      </w:r>
    </w:p>
    <w:p>
      <w:pPr>
        <w:ind w:firstLine="640" w:firstLineChars="200"/>
        <w:jc w:val="left"/>
        <w:rPr>
          <w:rFonts w:hint="eastAsia" w:ascii="仿宋_GB2312" w:hAnsi="仿宋" w:eastAsia="仿宋_GB2312" w:cs="Tahoma"/>
          <w:bCs/>
          <w:color w:val="000000"/>
          <w:sz w:val="32"/>
          <w:szCs w:val="32"/>
          <w:lang w:eastAsia="zh-CN"/>
        </w:rPr>
      </w:pPr>
    </w:p>
    <w:p>
      <w:pPr>
        <w:ind w:firstLine="640" w:firstLineChars="200"/>
        <w:jc w:val="left"/>
        <w:rPr>
          <w:rFonts w:hint="eastAsia" w:ascii="仿宋_GB2312" w:hAnsi="仿宋" w:eastAsia="仿宋_GB2312" w:cs="Tahoma"/>
          <w:bCs/>
          <w:color w:val="000000"/>
          <w:sz w:val="32"/>
          <w:szCs w:val="32"/>
          <w:lang w:eastAsia="zh-CN"/>
        </w:rPr>
      </w:pPr>
    </w:p>
    <w:p>
      <w:pPr>
        <w:ind w:firstLine="640" w:firstLineChars="200"/>
        <w:jc w:val="left"/>
        <w:rPr>
          <w:rFonts w:hint="eastAsia" w:ascii="仿宋_GB2312" w:hAnsi="仿宋" w:eastAsia="仿宋_GB2312" w:cs="Tahoma"/>
          <w:bCs/>
          <w:color w:val="000000"/>
          <w:sz w:val="32"/>
          <w:szCs w:val="32"/>
          <w:lang w:eastAsia="zh-CN"/>
        </w:rPr>
      </w:pPr>
    </w:p>
    <w:p>
      <w:pPr>
        <w:ind w:firstLine="640" w:firstLineChars="200"/>
        <w:jc w:val="left"/>
        <w:rPr>
          <w:rFonts w:hint="eastAsia" w:ascii="仿宋_GB2312" w:hAnsi="仿宋" w:eastAsia="仿宋_GB2312" w:cs="Tahoma"/>
          <w:bCs/>
          <w:color w:val="000000"/>
          <w:sz w:val="32"/>
          <w:szCs w:val="32"/>
          <w:lang w:eastAsia="zh-CN"/>
        </w:rPr>
      </w:pPr>
    </w:p>
    <w:p>
      <w:pPr>
        <w:ind w:firstLine="640" w:firstLineChars="200"/>
        <w:jc w:val="left"/>
        <w:rPr>
          <w:rFonts w:hint="eastAsia" w:ascii="仿宋_GB2312" w:hAnsi="仿宋" w:eastAsia="仿宋_GB2312" w:cs="Tahoma"/>
          <w:bCs/>
          <w:color w:val="000000"/>
          <w:sz w:val="32"/>
          <w:szCs w:val="32"/>
          <w:lang w:eastAsia="zh-CN"/>
        </w:rPr>
      </w:pPr>
    </w:p>
    <w:p>
      <w:pPr>
        <w:ind w:firstLine="640" w:firstLineChars="200"/>
        <w:jc w:val="left"/>
        <w:rPr>
          <w:rFonts w:hint="eastAsia" w:ascii="仿宋_GB2312" w:hAnsi="仿宋" w:eastAsia="仿宋_GB2312" w:cs="Tahoma"/>
          <w:bCs/>
          <w:color w:val="000000"/>
          <w:sz w:val="32"/>
          <w:szCs w:val="32"/>
          <w:lang w:eastAsia="zh-CN"/>
        </w:rPr>
      </w:pPr>
    </w:p>
    <w:p>
      <w:pPr>
        <w:ind w:firstLine="640" w:firstLineChars="200"/>
        <w:jc w:val="left"/>
        <w:rPr>
          <w:rFonts w:hint="eastAsia" w:ascii="仿宋_GB2312" w:hAnsi="仿宋" w:eastAsia="仿宋_GB2312" w:cs="Tahoma"/>
          <w:bCs/>
          <w:color w:val="000000"/>
          <w:sz w:val="32"/>
          <w:szCs w:val="32"/>
          <w:lang w:eastAsia="zh-CN"/>
        </w:rPr>
      </w:pPr>
    </w:p>
    <w:p>
      <w:pPr>
        <w:ind w:firstLine="640" w:firstLineChars="200"/>
        <w:jc w:val="left"/>
        <w:rPr>
          <w:rFonts w:hint="eastAsia" w:ascii="仿宋_GB2312" w:hAnsi="仿宋" w:eastAsia="仿宋_GB2312" w:cs="Tahoma"/>
          <w:bCs/>
          <w:color w:val="000000"/>
          <w:sz w:val="32"/>
          <w:szCs w:val="32"/>
          <w:lang w:eastAsia="zh-CN"/>
        </w:rPr>
      </w:pPr>
    </w:p>
    <w:p>
      <w:pPr>
        <w:ind w:firstLine="640" w:firstLineChars="200"/>
        <w:jc w:val="left"/>
        <w:rPr>
          <w:rFonts w:ascii="仿宋_GB2312" w:hAnsi="仿宋" w:eastAsia="仿宋_GB2312" w:cs="Tahoma"/>
          <w:bCs/>
          <w:color w:val="000000"/>
          <w:sz w:val="32"/>
          <w:szCs w:val="32"/>
        </w:rPr>
      </w:pPr>
      <w:r>
        <w:rPr>
          <w:rFonts w:ascii="仿宋_GB2312" w:eastAsia="仿宋_GB2312"/>
          <w:sz w:val="32"/>
          <w:szCs w:val="32"/>
        </w:rPr>
        <w:drawing>
          <wp:anchor distT="0" distB="0" distL="114300" distR="114300" simplePos="0" relativeHeight="251661312" behindDoc="1" locked="0" layoutInCell="1" allowOverlap="1">
            <wp:simplePos x="0" y="0"/>
            <wp:positionH relativeFrom="column">
              <wp:posOffset>2348230</wp:posOffset>
            </wp:positionH>
            <wp:positionV relativeFrom="paragraph">
              <wp:posOffset>26035</wp:posOffset>
            </wp:positionV>
            <wp:extent cx="1477645" cy="1476375"/>
            <wp:effectExtent l="19050" t="0" r="8255" b="0"/>
            <wp:wrapNone/>
            <wp:docPr id="2" name="图片 2" descr="C:\Users\Administrator\Desktop\002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002_副本.png"/>
                    <pic:cNvPicPr>
                      <a:picLocks noChangeAspect="1" noChangeArrowheads="1"/>
                    </pic:cNvPicPr>
                  </pic:nvPicPr>
                  <pic:blipFill>
                    <a:blip r:embed="rId7" cstate="print"/>
                    <a:srcRect/>
                    <a:stretch>
                      <a:fillRect/>
                    </a:stretch>
                  </pic:blipFill>
                  <pic:spPr>
                    <a:xfrm>
                      <a:off x="0" y="0"/>
                      <a:ext cx="1477645" cy="1476375"/>
                    </a:xfrm>
                    <a:prstGeom prst="rect">
                      <a:avLst/>
                    </a:prstGeom>
                    <a:noFill/>
                    <a:ln w="9525">
                      <a:noFill/>
                      <a:miter lim="800000"/>
                      <a:headEnd/>
                      <a:tailEnd/>
                    </a:ln>
                  </pic:spPr>
                </pic:pic>
              </a:graphicData>
            </a:graphic>
          </wp:anchor>
        </w:drawing>
      </w:r>
    </w:p>
    <w:p>
      <w:pPr>
        <w:ind w:firstLine="640" w:firstLineChars="200"/>
        <w:jc w:val="right"/>
        <w:rPr>
          <w:rFonts w:ascii="仿宋_GB2312" w:hAnsi="仿宋" w:eastAsia="仿宋_GB2312" w:cs="Tahoma"/>
          <w:bCs/>
          <w:color w:val="000000"/>
          <w:sz w:val="32"/>
          <w:szCs w:val="32"/>
        </w:rPr>
      </w:pPr>
      <w:r>
        <w:rPr>
          <w:rFonts w:hint="eastAsia" w:ascii="仿宋_GB2312" w:hAnsi="仿宋" w:eastAsia="仿宋_GB2312" w:cs="Tahoma"/>
          <w:bCs/>
          <w:color w:val="000000"/>
          <w:sz w:val="32"/>
          <w:szCs w:val="32"/>
        </w:rPr>
        <w:t>中共内蒙古医科大学附属人民医院纪律检查委员会</w:t>
      </w:r>
    </w:p>
    <w:p>
      <w:pPr>
        <w:ind w:firstLine="3260" w:firstLineChars="1019"/>
        <w:jc w:val="left"/>
        <w:rPr>
          <w:rFonts w:ascii="仿宋_GB2312" w:hAnsi="仿宋" w:eastAsia="仿宋_GB2312" w:cs="Tahoma"/>
          <w:bCs/>
          <w:color w:val="000000"/>
          <w:sz w:val="32"/>
          <w:szCs w:val="32"/>
        </w:rPr>
      </w:pPr>
      <w:r>
        <w:rPr>
          <w:rFonts w:hint="eastAsia" w:ascii="仿宋_GB2312" w:hAnsi="仿宋" w:eastAsia="仿宋_GB2312" w:cs="Tahoma"/>
          <w:bCs/>
          <w:color w:val="000000"/>
          <w:sz w:val="32"/>
          <w:szCs w:val="32"/>
        </w:rPr>
        <w:t>二0一八年九月十二日</w:t>
      </w:r>
    </w:p>
    <w:p>
      <w:pPr>
        <w:widowControl/>
        <w:wordWrap w:val="0"/>
        <w:spacing w:line="270" w:lineRule="atLeast"/>
        <w:ind w:firstLine="640" w:firstLineChars="200"/>
        <w:jc w:val="left"/>
        <w:rPr>
          <w:rFonts w:ascii="仿宋_GB2312" w:eastAsia="仿宋_GB2312"/>
          <w:sz w:val="32"/>
          <w:szCs w:val="32"/>
        </w:rPr>
      </w:pPr>
    </w:p>
    <w:p>
      <w:pPr>
        <w:widowControl/>
        <w:wordWrap w:val="0"/>
        <w:spacing w:line="270" w:lineRule="atLeast"/>
        <w:ind w:firstLine="640" w:firstLineChars="200"/>
        <w:jc w:val="left"/>
        <w:rPr>
          <w:rFonts w:ascii="仿宋_GB2312" w:eastAsia="仿宋_GB2312"/>
          <w:sz w:val="32"/>
          <w:szCs w:val="32"/>
        </w:rPr>
      </w:pPr>
    </w:p>
    <w:p>
      <w:pPr>
        <w:widowControl/>
        <w:wordWrap w:val="0"/>
        <w:spacing w:line="270" w:lineRule="atLeast"/>
        <w:ind w:firstLine="640" w:firstLineChars="200"/>
        <w:jc w:val="left"/>
        <w:rPr>
          <w:rFonts w:ascii="仿宋_GB2312" w:eastAsia="仿宋_GB2312"/>
          <w:sz w:val="32"/>
          <w:szCs w:val="32"/>
        </w:rPr>
      </w:pPr>
    </w:p>
    <w:p>
      <w:pPr>
        <w:widowControl/>
        <w:wordWrap w:val="0"/>
        <w:spacing w:line="270" w:lineRule="atLeast"/>
        <w:jc w:val="left"/>
        <w:rPr>
          <w:rFonts w:ascii="仿宋_GB2312" w:eastAsia="仿宋_GB2312"/>
          <w:sz w:val="32"/>
          <w:szCs w:val="32"/>
        </w:rPr>
      </w:pPr>
    </w:p>
    <w:p>
      <w:pPr>
        <w:widowControl/>
        <w:wordWrap w:val="0"/>
        <w:spacing w:line="270" w:lineRule="atLeast"/>
        <w:ind w:firstLine="640" w:firstLineChars="200"/>
        <w:jc w:val="left"/>
        <w:rPr>
          <w:rFonts w:hint="eastAsia" w:ascii="仿宋_GB2312" w:eastAsia="仿宋_GB2312"/>
          <w:sz w:val="32"/>
          <w:szCs w:val="32"/>
        </w:rPr>
      </w:pPr>
      <w:bookmarkStart w:id="0" w:name="_GoBack"/>
      <w:bookmarkEnd w:id="0"/>
    </w:p>
    <w:p>
      <w:pPr>
        <w:widowControl/>
        <w:wordWrap w:val="0"/>
        <w:spacing w:line="270" w:lineRule="atLeast"/>
        <w:ind w:firstLine="640" w:firstLineChars="200"/>
        <w:jc w:val="left"/>
        <w:rPr>
          <w:rFonts w:ascii="仿宋_GB2312" w:eastAsia="仿宋_GB2312"/>
          <w:sz w:val="32"/>
          <w:szCs w:val="32"/>
        </w:rPr>
      </w:pPr>
    </w:p>
    <w:p>
      <w:pPr>
        <w:widowControl/>
        <w:wordWrap w:val="0"/>
        <w:spacing w:line="270" w:lineRule="atLeast"/>
        <w:ind w:firstLine="640" w:firstLineChars="200"/>
        <w:jc w:val="left"/>
        <w:rPr>
          <w:rFonts w:ascii="仿宋_GB2312" w:eastAsia="仿宋_GB2312"/>
          <w:sz w:val="32"/>
          <w:szCs w:val="32"/>
        </w:rPr>
      </w:pPr>
    </w:p>
    <w:p>
      <w:pPr>
        <w:rPr>
          <w:rFonts w:ascii="仿宋_GB2312" w:eastAsia="仿宋_GB2312"/>
          <w:sz w:val="32"/>
          <w:szCs w:val="32"/>
          <w:u w:val="single"/>
        </w:rPr>
      </w:pPr>
      <w:r>
        <w:rPr>
          <w:rFonts w:hint="eastAsia" w:ascii="仿宋_GB2312" w:eastAsia="仿宋_GB2312"/>
          <w:sz w:val="32"/>
          <w:szCs w:val="32"/>
          <w:u w:val="single"/>
        </w:rPr>
        <w:t xml:space="preserve">抄送：内蒙古医科大学纪委、院领导                                          </w:t>
      </w:r>
    </w:p>
    <w:p>
      <w:pPr>
        <w:rPr>
          <w:rFonts w:ascii="仿宋_GB2312" w:eastAsia="仿宋_GB2312"/>
          <w:sz w:val="32"/>
          <w:szCs w:val="32"/>
          <w:u w:val="single"/>
        </w:rPr>
      </w:pPr>
      <w:r>
        <w:rPr>
          <w:rFonts w:hint="eastAsia" w:ascii="仿宋_GB2312" w:eastAsia="仿宋_GB2312"/>
          <w:sz w:val="32"/>
          <w:szCs w:val="32"/>
          <w:u w:val="single"/>
        </w:rPr>
        <w:t>内医附属人民医院纪检监察审计部     201</w:t>
      </w:r>
      <w:r>
        <w:rPr>
          <w:rFonts w:hint="eastAsia" w:ascii="仿宋_GB2312" w:eastAsia="仿宋_GB2312"/>
          <w:sz w:val="32"/>
          <w:szCs w:val="32"/>
          <w:u w:val="single"/>
          <w:lang w:val="en-US" w:eastAsia="zh-CN"/>
        </w:rPr>
        <w:t>8</w:t>
      </w:r>
      <w:r>
        <w:rPr>
          <w:rFonts w:hint="eastAsia" w:ascii="仿宋_GB2312" w:eastAsia="仿宋_GB2312"/>
          <w:sz w:val="32"/>
          <w:szCs w:val="32"/>
          <w:u w:val="single"/>
        </w:rPr>
        <w:t>年9月</w:t>
      </w:r>
      <w:r>
        <w:rPr>
          <w:rFonts w:hint="eastAsia" w:ascii="仿宋_GB2312" w:eastAsia="仿宋_GB2312"/>
          <w:sz w:val="32"/>
          <w:szCs w:val="32"/>
          <w:u w:val="single"/>
          <w:lang w:val="en-US" w:eastAsia="zh-CN"/>
        </w:rPr>
        <w:t>12</w:t>
      </w:r>
      <w:r>
        <w:rPr>
          <w:rFonts w:hint="eastAsia" w:ascii="仿宋_GB2312" w:eastAsia="仿宋_GB2312"/>
          <w:sz w:val="32"/>
          <w:szCs w:val="32"/>
          <w:u w:val="single"/>
        </w:rPr>
        <w:t>日印　　　　　　</w:t>
      </w:r>
    </w:p>
    <w:p>
      <w:pPr>
        <w:widowControl/>
        <w:wordWrap w:val="0"/>
        <w:spacing w:line="270" w:lineRule="atLeast"/>
        <w:jc w:val="left"/>
        <w:rPr>
          <w:rFonts w:ascii="仿宋_GB2312" w:eastAsia="仿宋_GB2312"/>
          <w:sz w:val="32"/>
          <w:szCs w:val="32"/>
          <w:u w:val="none"/>
        </w:rPr>
      </w:pPr>
      <w:r>
        <w:rPr>
          <w:rFonts w:hint="eastAsia" w:ascii="仿宋_GB2312" w:eastAsia="仿宋_GB2312"/>
          <w:sz w:val="32"/>
          <w:szCs w:val="32"/>
          <w:u w:val="none"/>
        </w:rPr>
        <w:t>　　　　　　　　　　　　　　　　　　　　共印</w:t>
      </w:r>
      <w:r>
        <w:rPr>
          <w:rFonts w:hint="eastAsia" w:ascii="仿宋_GB2312" w:eastAsia="仿宋_GB2312"/>
          <w:sz w:val="32"/>
          <w:szCs w:val="32"/>
          <w:u w:val="none"/>
          <w:lang w:val="en-US" w:eastAsia="zh-CN"/>
        </w:rPr>
        <w:t>10</w:t>
      </w:r>
      <w:r>
        <w:rPr>
          <w:rFonts w:hint="eastAsia" w:ascii="仿宋_GB2312" w:eastAsia="仿宋_GB2312"/>
          <w:sz w:val="32"/>
          <w:szCs w:val="32"/>
          <w:u w:val="none"/>
        </w:rPr>
        <w:t>（份</w:t>
      </w:r>
      <w:r>
        <w:rPr>
          <w:rFonts w:ascii="仿宋_GB2312" w:eastAsia="仿宋_GB2312"/>
          <w:sz w:val="32"/>
          <w:szCs w:val="32"/>
          <w:u w:val="none"/>
        </w:rPr>
        <w:t>）</w:t>
      </w: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w:altName w:val="Times New Roman"/>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长城小标宋体">
    <w:altName w:val="宋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7"/>
      </w:rPr>
    </w:pPr>
    <w:r>
      <w:rPr>
        <w:rStyle w:val="7"/>
      </w:rPr>
      <w:fldChar w:fldCharType="begin"/>
    </w:r>
    <w:r>
      <w:rPr>
        <w:rStyle w:val="7"/>
      </w:rPr>
      <w:instrText xml:space="preserve">PAGE  </w:instrText>
    </w:r>
    <w:r>
      <w:rPr>
        <w:rStyle w:val="7"/>
      </w:rPr>
      <w:fldChar w:fldCharType="separate"/>
    </w:r>
    <w:r>
      <w:rPr>
        <w:rStyle w:val="7"/>
      </w:rPr>
      <w:t>1</w:t>
    </w:r>
    <w:r>
      <w:rPr>
        <w:rStyle w:val="7"/>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7"/>
      </w:rPr>
    </w:pPr>
    <w:r>
      <w:rPr>
        <w:rStyle w:val="7"/>
      </w:rPr>
      <w:fldChar w:fldCharType="begin"/>
    </w:r>
    <w:r>
      <w:rPr>
        <w:rStyle w:val="7"/>
      </w:rPr>
      <w:instrText xml:space="preserve">PAGE  </w:instrText>
    </w:r>
    <w:r>
      <w:rPr>
        <w:rStyle w:val="7"/>
      </w:rPr>
      <w:fldChar w:fldCharType="end"/>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A2B13"/>
    <w:multiLevelType w:val="singleLevel"/>
    <w:tmpl w:val="388A2B1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924"/>
    <w:rsid w:val="000017A7"/>
    <w:rsid w:val="000B6508"/>
    <w:rsid w:val="001002F0"/>
    <w:rsid w:val="001C659B"/>
    <w:rsid w:val="00234480"/>
    <w:rsid w:val="00257B69"/>
    <w:rsid w:val="002C7E41"/>
    <w:rsid w:val="002D3924"/>
    <w:rsid w:val="003B7C74"/>
    <w:rsid w:val="003F4957"/>
    <w:rsid w:val="00412F50"/>
    <w:rsid w:val="004164FF"/>
    <w:rsid w:val="004B7F39"/>
    <w:rsid w:val="00554483"/>
    <w:rsid w:val="00573C48"/>
    <w:rsid w:val="005C0FE3"/>
    <w:rsid w:val="005F1655"/>
    <w:rsid w:val="00615E2B"/>
    <w:rsid w:val="00636A66"/>
    <w:rsid w:val="00652831"/>
    <w:rsid w:val="006962D7"/>
    <w:rsid w:val="00697047"/>
    <w:rsid w:val="006F5559"/>
    <w:rsid w:val="00715DCA"/>
    <w:rsid w:val="00797F7D"/>
    <w:rsid w:val="0082601F"/>
    <w:rsid w:val="008279D0"/>
    <w:rsid w:val="008410E5"/>
    <w:rsid w:val="008C0322"/>
    <w:rsid w:val="008D0CAA"/>
    <w:rsid w:val="00920C80"/>
    <w:rsid w:val="009F2518"/>
    <w:rsid w:val="00A24F29"/>
    <w:rsid w:val="00A72D58"/>
    <w:rsid w:val="00AF2B4C"/>
    <w:rsid w:val="00B550ED"/>
    <w:rsid w:val="00D163F5"/>
    <w:rsid w:val="00D67705"/>
    <w:rsid w:val="00DD2CFB"/>
    <w:rsid w:val="00E83586"/>
    <w:rsid w:val="00ED3726"/>
    <w:rsid w:val="00EF3151"/>
    <w:rsid w:val="00FE6816"/>
    <w:rsid w:val="00FF6369"/>
    <w:rsid w:val="075468F8"/>
    <w:rsid w:val="2A6C3264"/>
    <w:rsid w:val="59E3111D"/>
    <w:rsid w:val="69B60C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11"/>
    <w:unhideWhenUsed/>
    <w:qFormat/>
    <w:uiPriority w:val="0"/>
    <w:pPr>
      <w:tabs>
        <w:tab w:val="center" w:pos="4153"/>
        <w:tab w:val="right" w:pos="8306"/>
      </w:tabs>
      <w:snapToGrid w:val="0"/>
      <w:jc w:val="left"/>
    </w:pPr>
    <w:rPr>
      <w:sz w:val="18"/>
      <w:szCs w:val="18"/>
    </w:rPr>
  </w:style>
  <w:style w:type="paragraph" w:styleId="3">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line="360" w:lineRule="auto"/>
      <w:jc w:val="left"/>
    </w:pPr>
    <w:rPr>
      <w:rFonts w:ascii="??" w:hAnsi="??" w:cs="宋体"/>
      <w:color w:val="1F225F"/>
      <w:kern w:val="0"/>
      <w:sz w:val="20"/>
      <w:szCs w:val="20"/>
    </w:rPr>
  </w:style>
  <w:style w:type="character" w:styleId="6">
    <w:name w:val="Strong"/>
    <w:basedOn w:val="5"/>
    <w:qFormat/>
    <w:uiPriority w:val="0"/>
    <w:rPr>
      <w:b/>
      <w:bCs/>
    </w:rPr>
  </w:style>
  <w:style w:type="character" w:styleId="7">
    <w:name w:val="page number"/>
    <w:basedOn w:val="5"/>
    <w:qFormat/>
    <w:uiPriority w:val="0"/>
  </w:style>
  <w:style w:type="character" w:styleId="8">
    <w:name w:val="Hyperlink"/>
    <w:basedOn w:val="5"/>
    <w:unhideWhenUsed/>
    <w:uiPriority w:val="99"/>
    <w:rPr>
      <w:color w:val="0000FF" w:themeColor="hyperlink"/>
      <w:u w:val="single"/>
      <w14:textFill>
        <w14:solidFill>
          <w14:schemeClr w14:val="hlink"/>
        </w14:solidFill>
      </w14:textFill>
    </w:rPr>
  </w:style>
  <w:style w:type="character" w:customStyle="1" w:styleId="10">
    <w:name w:val="页眉 Char"/>
    <w:link w:val="3"/>
    <w:uiPriority w:val="99"/>
    <w:rPr>
      <w:rFonts w:ascii="Times New Roman" w:hAnsi="Times New Roman"/>
      <w:kern w:val="2"/>
      <w:sz w:val="18"/>
      <w:szCs w:val="18"/>
    </w:rPr>
  </w:style>
  <w:style w:type="character" w:customStyle="1" w:styleId="11">
    <w:name w:val="页脚 Char"/>
    <w:link w:val="2"/>
    <w:uiPriority w:val="0"/>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4478FA-8DDA-4087-9860-2E04E99A86C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165</Words>
  <Characters>941</Characters>
  <Lines>7</Lines>
  <Paragraphs>2</Paragraphs>
  <TotalTime>2</TotalTime>
  <ScaleCrop>false</ScaleCrop>
  <LinksUpToDate>false</LinksUpToDate>
  <CharactersWithSpaces>1104</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2017-09-20T07:18:00Z</dcterms:created>
  <dc:creator>薛蕾</dc:creator>
  <cp:lastModifiedBy>Administrator</cp:lastModifiedBy>
  <cp:lastPrinted>2017-09-20T09:43:00Z</cp:lastPrinted>
  <dcterms:modified xsi:type="dcterms:W3CDTF">2018-09-13T01:08:51Z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